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long ago gave up trying to decipher the whole thing and I simply group it with the series of non-tragic tragedies (along with MacBeth, Hamlet, Julius Caesar), which I think taken together can be considered to make a unified political statement about the importance of the regular transfer of power in a state. Think about it for a moment; there's no real tragedy in what happens to Caesar, MacBeth, Hamlet or Lear; they've all proven themselves unfit for rule. Nor are the fates of those who usurp power from Caesar, Hamlet and Lear at all tragic, with the possible exception of Brutus, they pretty much get what they have coming to them. Instead, the real tragedy lies in the bloody chain of events that each illegitimate claiming of power unleashes. The implied message of these works, when considered as a unified whole, is that deviance from the orderly transfer of power leads to disaster for all concerned. (Of particular significance to this analysis in regards to King Lear is the fact that it was written in 1605, the year of the Gunpowder Plot.)</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8"/>
          <w:szCs w:val="8"/>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Orrin C. Judd      brothersjudd.com</w:t>
      </w:r>
    </w:p>
    <w:p w:rsidR="0030084D" w:rsidRDefault="0030084D">
      <w:pPr>
        <w:widowControl w:val="0"/>
        <w:autoSpaceDE w:val="0"/>
        <w:autoSpaceDN w:val="0"/>
        <w:adjustRightInd w:val="0"/>
        <w:spacing w:after="0" w:line="240" w:lineRule="auto"/>
        <w:rPr>
          <w:rFonts w:ascii="Times New Roman" w:hAnsi="Times New Roman" w:cs="Times New Roman"/>
          <w:sz w:val="8"/>
          <w:szCs w:val="8"/>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http://www.amazon.com/review/R2RA4K8OE2XO1T</w:t>
      </w: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good as some forms of government can get, they still fall short of the kind of perfection we would all like to see.</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the American experiment, which has proven to be one of the most successful forms of popular government in history, still clearly separates its legislative, judicial and executive powers.</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why does it do that? It's because the founding fathers, painfully aware of the situation in Europe, were trying to prevent it from happening all over again. And so the separation of powers in the American Constitution, if you think about it, is actually a striking admission that there is something fundamentally flawed in human nature. The very fact that we need checks and balances in government is essentially an admission that the human heart is selfish.</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of course, as each election year passes, and as one government gives way to another, people still have hopes that somebody will come along and solve all of life's problems.</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Nobody is naive enough to believe that any one government can cure everything that ails us, but still we hope for things to get a little better with each new administration. And while I am a firm believer that those in the public arena should strive to make life better for those they govern, I know that on this side of eternity, human government will bring distinctly human problems with it.</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 know, the Bible sheds some interesting light on the subject of human government. In the beginning, the nation of Israel was not governed by human beings. Moses served as sort of a governor, and he delegated authority to other judges, but in reality, Israel was ruled directly by God. It was a theocracy, where the law was the Word of God and the final court of appeal was the throne room of the Almighty.</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this is not to be confused with the marriage of church and state that led to some of the atrocities of the Dark Ages. Those were simply the result of corrupted clergymen who pursued their selfish ambitions in spite of what the Bible said.</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the theocracy of Israel was the real thing. God actually ruled His people directly. And the Bible says, in the book of Exodus, chapter 25, that the literal presence of God would come down into the Most Holy Place, and there, from above the Ark of the Covenant, God would give Moses instructions for </w:t>
      </w:r>
      <w:r>
        <w:rPr>
          <w:rFonts w:ascii="Arial" w:hAnsi="Arial" w:cs="Arial"/>
          <w:sz w:val="20"/>
          <w:szCs w:val="20"/>
        </w:rPr>
        <w:lastRenderedPageBreak/>
        <w:t>the people to follow. The Bible says in Exodus 25 and verse 22:</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ind w:left="1440" w:right="1440"/>
        <w:rPr>
          <w:rFonts w:ascii="Arial" w:hAnsi="Arial" w:cs="Arial"/>
          <w:sz w:val="20"/>
          <w:szCs w:val="20"/>
        </w:rPr>
      </w:pPr>
      <w:r>
        <w:rPr>
          <w:rFonts w:ascii="Arial" w:hAnsi="Arial" w:cs="Arial"/>
          <w:sz w:val="20"/>
          <w:szCs w:val="20"/>
        </w:rPr>
        <w:t xml:space="preserve">"And there I will meet with thee, and I will commune with thee from above the mercy seat, from between the two cherubims, which are upon the ark of the testimony, of all things which I will give thee in commandment unto the children of Israel."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a direct line of government from the throne room of God to the children of Israel. And of course, you couldn't ask for a better form of government than to have a loving God at the helm of your nation.</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God's long-range plan, if Israel proved to be obedient, was to help that nation prosper to such an extent that the whole world would sit up and take notice. By placing Israel in the crossroads of the ancient world, He wanted to create a public display of His goodness and mercy that would attract the attention of other nations.</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eventually, the entire world would be collected together under the umbrella of God's saving love. As the world observed the temple and its sacrificial rituals, they would catch a glimpse of God's plan to save sinners through the sacrifice of a coming Messiah. And as the world noticed the peace and prosperity of a nation immersed in a relationship with God, they would also realize their need for a similar relationship.</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sad record of the Bible is that the children of Israel chose a different path. Instead of attracting other nations to their God-centered form of government, they wanted a king like the pagan nations around them.</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story is told in the Book of First Samuel, chapter eight, where the elders of Israel were afraid that once Samuel died, there would be nobody to provide the nation with guidance. So they demanded a king.</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Here is how the Bible tells the story in First Samuel, chapter eight and verse four(1 Samuel 8:4):</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ind w:left="1440" w:right="1440"/>
        <w:rPr>
          <w:rFonts w:ascii="Arial" w:hAnsi="Arial" w:cs="Arial"/>
          <w:sz w:val="20"/>
          <w:szCs w:val="20"/>
        </w:rPr>
      </w:pPr>
      <w:r>
        <w:rPr>
          <w:rFonts w:ascii="Arial" w:hAnsi="Arial" w:cs="Arial"/>
          <w:sz w:val="20"/>
          <w:szCs w:val="20"/>
        </w:rPr>
        <w:t xml:space="preserve">"Then all the elders of Israel gathered together and came to Samuel at Ramah, and said to him, 'Look, you are old, and your sons do not walk in your ways. Now make for us a king to judge us like all the nations.' But the thing displeased Samuel when they said, 'Give us a king to judge us.' So Samuel prayed to the Lord. And the Lord said to Samuel, 'Heed the voice of the people in all that they say to you; for they have not rejected you, but they have rejected Me, that I should not reign over them."'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Try to imagine the heartache in the courts of heaven when God's own chosen people doubted God's ability to govern them. With deliberate blindness, they turned away from the amazing record of God's goodness to them, from the parting of the Red Sea to the crossing of the Jordan, and they decided to take matters into their own hands.</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28"/>
          <w:szCs w:val="28"/>
        </w:rPr>
      </w:pPr>
      <w:r>
        <w:rPr>
          <w:rFonts w:ascii="Arial" w:hAnsi="Arial" w:cs="Arial"/>
          <w:sz w:val="20"/>
          <w:szCs w:val="20"/>
        </w:rPr>
        <w:tab/>
        <w:t>And that of course is the story of human history since the moment Adam and Eve chose to doubt God's Word. God had given them careful instructions, and yet they chose to follow their own path. And we all know how that turned out.</w:t>
      </w:r>
    </w:p>
    <w:p w:rsidR="0030084D" w:rsidRDefault="0030084D">
      <w:pPr>
        <w:widowControl w:val="0"/>
        <w:autoSpaceDE w:val="0"/>
        <w:autoSpaceDN w:val="0"/>
        <w:adjustRightInd w:val="0"/>
        <w:spacing w:after="0" w:line="240" w:lineRule="auto"/>
        <w:rPr>
          <w:rFonts w:ascii="Times New Roman" w:hAnsi="Times New Roman" w:cs="Times New Roman"/>
          <w:sz w:val="28"/>
          <w:szCs w:val="28"/>
        </w:rPr>
      </w:pP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http://www.itiswritten.com/tvprogram/episode/2007/06/1030</w:t>
      </w: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Extraconstitutionality of Lockean Prerogative</w:t>
      </w: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 xml:space="preserve">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One cannot acknowledge the legitimacy of extralegal action without weakening the conviction that legitimate action must accord with the law. Yet John Locke does precisely this. He argues in the Two Treatises of Government that the prince possesses, by the “common Law of Nature” (II 159),</w:t>
      </w:r>
      <w:r>
        <w:rPr>
          <w:rFonts w:ascii="Arial" w:hAnsi="Arial" w:cs="Arial"/>
          <w:position w:val="6"/>
          <w:sz w:val="20"/>
          <w:szCs w:val="20"/>
          <w:vertAlign w:val="superscript"/>
        </w:rPr>
        <w:t>1</w:t>
      </w:r>
      <w:r>
        <w:rPr>
          <w:rFonts w:ascii="Arial" w:hAnsi="Arial" w:cs="Arial"/>
          <w:sz w:val="20"/>
          <w:szCs w:val="20"/>
        </w:rPr>
        <w:t xml:space="preserve"> a right to act for the good of society without the sanction of law, even against the law. Why is such a power needed? What would it look like in a liberal commonwealth?</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Scholars have shown increased interest Locke’s doctrine of prerogative in recent years.</w:t>
      </w:r>
      <w:r>
        <w:rPr>
          <w:rFonts w:ascii="Arial" w:hAnsi="Arial" w:cs="Arial"/>
          <w:position w:val="6"/>
          <w:sz w:val="20"/>
          <w:szCs w:val="20"/>
          <w:vertAlign w:val="superscript"/>
        </w:rPr>
        <w:t>2</w:t>
      </w:r>
      <w:r>
        <w:rPr>
          <w:rFonts w:ascii="Arial" w:hAnsi="Arial" w:cs="Arial"/>
          <w:sz w:val="20"/>
          <w:szCs w:val="20"/>
        </w:rPr>
        <w:t xml:space="preserve"> This is hardly surprising given the fact that the war on terrorism seems to require an extraordinary response. How we would even begin to discuss such a possibility without undermining the rule of law is a question which contemporary theory seems ill-equipped to answer. As Locke was both a) a liberal and b) someone who wrote about legitimate extralegality, the turn to Locke is both understandable and timely.</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There is, however, disagreement about the precise character of Lockean prerogative. On the one hand we have those who see prerogative as working within the constitutional structure: the executive has been previously authorized by the laws to step outside of the laws.</w:t>
      </w:r>
      <w:r>
        <w:rPr>
          <w:rFonts w:ascii="Arial" w:hAnsi="Arial" w:cs="Arial"/>
          <w:position w:val="6"/>
          <w:sz w:val="20"/>
          <w:szCs w:val="20"/>
          <w:vertAlign w:val="superscript"/>
        </w:rPr>
        <w:t>3</w:t>
      </w:r>
      <w:r>
        <w:rPr>
          <w:rFonts w:ascii="Arial" w:hAnsi="Arial" w:cs="Arial"/>
          <w:sz w:val="20"/>
          <w:szCs w:val="20"/>
        </w:rPr>
        <w:t xml:space="preserve"> On the other hand, some scholars (including myself) believe that prerogative, as Locke describes it, stands entirely outside of the constitutional framework. The short of this dispute is a question of who judges, and thus regulates, prerogative; its source is a question of whether prerogative is a power granted by the people or a component of natural law.</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For the constitutionalists, prerogative is regulated by the legislature, by the cabinet, or by some other political body: a well-made constitution is equal to any exigency. For the extra-constitutionalists like myself, prerogative cannot be regulated within the institutions of government, but is instead kept from entirely undermining the rule of law only by the spirited vigilance of the people. Recourse to extra-constitutional action is in theory necessary,</w:t>
      </w:r>
      <w:r>
        <w:rPr>
          <w:rFonts w:ascii="Arial" w:hAnsi="Arial" w:cs="Arial"/>
          <w:position w:val="6"/>
          <w:sz w:val="20"/>
          <w:szCs w:val="20"/>
          <w:vertAlign w:val="superscript"/>
        </w:rPr>
        <w:t>4</w:t>
      </w:r>
      <w:r>
        <w:rPr>
          <w:rFonts w:ascii="Arial" w:hAnsi="Arial" w:cs="Arial"/>
          <w:sz w:val="20"/>
          <w:szCs w:val="20"/>
        </w:rPr>
        <w:t xml:space="preserve"> and can be overseen only by a further extra-constitutional body.</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This paper is an argument for the second view. As this is a disagreement regarding the proper interpretation of Locke, I will proceed by a detailed exegesis of the passages relevant to prerogative. Prerogative, I will argue, is not the same as executive power. The executive power sees that the laws are followed, and nothing more. Locke is not being coy here: he is not surreptitiously expanding the scope of executive power by introducing prerogative. He does blur the distinction between the two, more often than not assigning the responsibility of prerogative to the executive, but his presentation maintains that they do in fact have different origins and extents.</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The executive wields a political power, whereas prerogative is a component of man’s power to execute the law of nature. As such, it stands beyond constitutional control.</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The Necessity of Prerogative</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Locke gives two reasons why law is insufficient for political ends and so must be supplemented with prerogative. The first involves deficiencies with a well-ordered legislative, viz. one that is not always in being, is separate from the executive, and comprises an assembly of men rather than a lone legislator. Because of the character of legislative power, he says, it is unnecessary for the legislature to forever be in session: it can pass whatever laws are needed and then dissolve, each representative returning to live under the laws it has made (II 143, II 153). Moreover, it would undoubtedly become burdensome to the people for it to sit throughout the year, year after year (II 153, II 156). The people’s property would be as secure under such a legislative as it is under an absolute monarch (II 138). It is for this reason that it must dissolve and reform as needed and that, in all well-constituted commonwealths, it is separate from the executive power (II 143, II 159).</w:t>
      </w:r>
      <w:r>
        <w:rPr>
          <w:rFonts w:ascii="Arial" w:hAnsi="Arial" w:cs="Arial"/>
          <w:position w:val="6"/>
          <w:sz w:val="20"/>
          <w:szCs w:val="20"/>
          <w:vertAlign w:val="superscript"/>
        </w:rPr>
        <w:t>5</w:t>
      </w:r>
      <w:r>
        <w:rPr>
          <w:rFonts w:ascii="Arial" w:hAnsi="Arial" w:cs="Arial"/>
          <w:sz w:val="20"/>
          <w:szCs w:val="20"/>
        </w:rPr>
        <w:t xml:space="preserve"> It is also for this reason that it must be an assembly, for a legislature comprising a single legislator by definition dissolves only upon his death (II 153; cf. II 143, II 153–157).</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These aspects of the well-constituted legislative power are the very ones that introduce inadequacies into the rule of law. In such governments, there must be “a latitude left to the Executive power, to do many things of choice, which the Laws do not prescribe”: the legislature is not always in being and is usually too numerous for it to act with “the dispatch requisite to Execution” (II 160).</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There is, however, a more fundamental problem with the rule of law. The above criticisms, after all, apply only to “some Governments” (II 160). This is to say that, so far, the problem is merely structural. It is produced by how Locke (and the Whigs in general) sought to obviate the dangers of absolute power: Parliament would pass laws that the King would enforce; there could be no power beyond what the laws demanded. This deficiency with the rule of law could therefore conceivably be remedied by finding some other institutional check on absolute power, one that did not occasion the above difficulties. That is, it is a problem with how the law is made. Yet there is a more intractable flaw, one which involves the nature of law itself.</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There are, Locke says, many things “which the Law can by no means provide for” (II 159). This is a fundamental inadequacy in the rule of law. Its cause lies in part in the very genesis of the rule of law, a genesis which strikes at the logic underlying legislative supremacy.    . .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The making of law, we are told, requires foresight. Yet legislators are not able “to foresee, and provide, by Laws, for all, that may be useful to the Community” (II 159). Locke repeats this in the next section, saying “it is impossible to foresee, and so by laws to provide for, all Accidents and Necessities, that may concern the publick” (II 160; cf. II 156, II 167). We can of course predict, and hence regulate, a good number of things — a point not to be forgotten — yet the reduction of all action to the mere application of rules would necessitate a near-total capacity to foresee the future. Even limiting ourselves only to those things which are “politically important,” this is simply an unreasonable expectation of the human mind.</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This lack of foresight is key: it allows Locke to broaden the scope of prerogative. In mentioning it, he also provides his readers with its cause. This cause marks a turning point in the Second Treatise. We do not possess the requisite foresight, he says, because of the constant flux of things.</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Things of this World are in so constant a Flux, that nothing remains long in the same State. Thus People, Riches, Trade, Power, change their Stations; flourishing mighty Cities come to ruine, and prove in time neglected desolate Corners, whilst other unfrequented places grow into populous Countries, fill’d with Wealth and Inhabitants. (II 157)</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This is true, he states, of all things, not simply of the mundane examples he gives; these examples, moreover, result in politically significant shifts. To continue to obey laws whose reasons have left them, Locke continues, can lead only to “gross absurdities” like England’s famously rotten boroughs. Moreover, under the system that Locke had been describing prior to this flux, “this [particular] inconvenience is thought incapable of a remedy” (II 157). Law itself cannot rule, and so Locke introduces and justifies an extralegal power as the proper remedy to its deficiencies.</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Redefining Prerogative</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So, what does Locke mean by this word? He defines it five times   . . . </w:t>
      </w:r>
      <w:r>
        <w:rPr>
          <w:rFonts w:ascii="Arial" w:hAnsi="Arial" w:cs="Arial"/>
          <w:sz w:val="20"/>
          <w:szCs w:val="20"/>
        </w:rPr>
        <w:tab/>
        <w:t xml:space="preserve"> Locke’s first definition immediately follows his statement on the constant flux in which all things are.</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Prerogative being nothing, but a Power in the hands of the Prince to provide for the publick good, in such Cases, which depending upon unforeseen and uncertain Occurrences, certain and unalterable Laws could not safely direct, whatsoever shall be done manifestly for the good of the People, and the establishing the Government upon its true Foundations, is, and always will be just Prerogative. (II 158)</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The second definition:  “This Power to act according to discretion, for the publick good, without the prescription of Law, and sometimes even against it, is that which is called Prerogative” (II 160).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Four sections later, he defines it again: “Prerogative can be nothing, but the Peoples permitting their Rulers, to do several things of their own free choice, where the Law was silent, and sometimes too against the direct Letter of the Law, for the publick good, and their acquiescing in it when so done” (II 164).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last definition that Locke provides within the chapter on prerogative, he states that “Prerogative is nothing but the Power of doing publick good without a Rule” (II 166).</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Finally, in the last section of the chapter on tyranny, he notes that it is “an Arbitrary Power in some things left in the Prince’s hand to do good, not harm to the people” (II 210).    . .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Locke continues to expand the power which the prince should possess over the legislative body. He had initially suggested an alternative to trusting the prince to convoke and dismiss it when appropriate, viz. setting the times at which it is to be assembled in the constitution (cf. II 154). Yet he now states that this would be unwise.   . .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Setting the times of the legislative session in the constitution might seem preferable to trusting in the prince’s goodness. It is, after all, the alternative to trusting in the people’s ability to punish a faithless executive, or rather in their prudently knowing when to do so. Locke advises against this alternative. Yet in arguing against setting the times constitutionally, he renders the situation such that there can be no check but popular resistance.</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In making this argument, Locke for the first time calls this power of convoking and dissolving the legislative “Prerogative.” He does not refer to it as such until he notes the frailty of human foresight and the fact that only the people can judge its use. This example eases one into the vast extent of prerogative that is to come. It is also essentially the same example which Locke uses to ease one out of the discussions of prerogative (cf. II 167).   . .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The legislative, we were told, makes the law for the public good, and men are obligated to follow the law, surrendering their private judgment regarding the public good (II 87, II 89, II 129–130). Now, it seems, some private judgment regarding the public good is reserved. Someone else is working toward that end. Our surprise only deepens when we remember just how great an undertaking this rule was introduced to justify: the reform of the rotten boroughs is but one application of this maxim.</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Were it not for this example, one might get the impression from the rest of Locke’s discussion that prerogative allowed for arbitrary, i.e., lawless, acts, but could not be a power to make law. After all, we were led to believe that only the legislative body could legislate. Here, however, a new electoral law seems to have been made, the old one being abandoned. This is no mere reform of the law of contracts, or some other aspect of common law, but the imposition of a new constitutional law.</w:t>
      </w:r>
      <w:r>
        <w:rPr>
          <w:rFonts w:ascii="Arial" w:hAnsi="Arial" w:cs="Arial"/>
          <w:position w:val="6"/>
          <w:sz w:val="20"/>
          <w:szCs w:val="20"/>
          <w:vertAlign w:val="superscript"/>
        </w:rPr>
        <w:t>9</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Since this would certainly be an odd conclusion, given Locke’s arguments thus far, we might try to interpret his statements here so as to avoid having him say this. We could say, provisionally, that a new electoral law is not made, but that the ruler instead exercises prerogative in this case as a one-off affair: the practice which he commands and which leads to “a fair and equal Representative” (II 158) would instead be made into a more permanent law by some other means. And yet, if we are to prefer this alternative, what might these other means be? Two candidates seem plausible, viz. ratification by the legislative and acquiescence by the people.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They do not, however, make this example less problematic. As regards the first, it hardly seems reasonable for this one-off affair to be made permanent by the acclamation of those who gained their position though the affair, viz. the “restored” legislature; the corrupt legislature certainly wouldn’t go for it!</w:t>
      </w:r>
      <w:r>
        <w:rPr>
          <w:rFonts w:ascii="Arial" w:hAnsi="Arial" w:cs="Arial"/>
          <w:position w:val="6"/>
          <w:sz w:val="20"/>
          <w:szCs w:val="20"/>
          <w:vertAlign w:val="superscript"/>
        </w:rPr>
        <w:t>10</w:t>
      </w:r>
      <w:r>
        <w:rPr>
          <w:rFonts w:ascii="Arial" w:hAnsi="Arial" w:cs="Arial"/>
          <w:sz w:val="20"/>
          <w:szCs w:val="20"/>
        </w:rPr>
        <w:t xml:space="preserve"> On the other hand, if it is the people at large who are to ratify this action, then a law is made by acquiescence rather than consent (cf. II 158, II 164, II 165, II 176, II 227).</w:t>
      </w:r>
      <w:r>
        <w:rPr>
          <w:rFonts w:ascii="Arial" w:hAnsi="Arial" w:cs="Arial"/>
          <w:position w:val="6"/>
          <w:sz w:val="20"/>
          <w:szCs w:val="20"/>
          <w:vertAlign w:val="superscript"/>
        </w:rPr>
        <w:t>11</w:t>
      </w:r>
      <w:r>
        <w:rPr>
          <w:rFonts w:ascii="Arial" w:hAnsi="Arial" w:cs="Arial"/>
          <w:sz w:val="20"/>
          <w:szCs w:val="20"/>
        </w:rPr>
        <w:t xml:space="preserve"> To avoid this possibility, however, we are forced to say that the prince did make a new law, and so that prerogative is not restricted in this manner. Locke does not provide us with an easy way to resolve this difficulty, and I do not pretend that this brief exploration settles this issue.</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Regardless of how one reads these sections, however, the extent of prerogative is broad indeed, capable of legitimate action against even the constitutional law.   . .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Locke continues, “a Man may come sometimes within the reach of the Law, which makes no distinction of Persons, by an action, that may deserve reward and pardon.” Law makes no distinction of persons, but now this is a mark against it. Impartiality means to have “one Rule for Rich and Poor, for the Favourite at Court, and the Country Man at Plough” (II 142), but it also means that law does not respect illegal actions that benefit society   . .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Law cannot dictate when illegal actions are allowed and when they are not: what is illegal must necessarily be forbidden by the law. Some extralegal discretion is therefore required, and the prince is not always at hand. Someone else can, then, stand up and do what must be done. Locke does not call this act prerogative, however   . .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The Failure of Constitutionalism</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We are now in a position to identify several of broad characteristics of prerogative. Aside from its most obvious features (viz. that it is extralegal and works for the public good), it is unlimited by anything other than the law of nature, it is distinct from political executive power, it is a natural power, and its use cannot be judged on earth. I will explain more about what I mean by each of these in turn.</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Prerogative clearly sits uncomfortably with constitutionalism. Indeed, Justice Davis, writing for the Court in Ex parte Milligan, went so far as to declare, “No doctrine, involving more pernicious consequences, was ever invented by the wit of man than that any of [the Constitution’s] provisions can be suspended during any of the great exigencies of government. Such a doctrine leads directly to anarchy or despotism.”</w:t>
      </w:r>
      <w:r>
        <w:rPr>
          <w:rFonts w:ascii="Arial" w:hAnsi="Arial" w:cs="Arial"/>
          <w:position w:val="6"/>
          <w:sz w:val="20"/>
          <w:szCs w:val="20"/>
          <w:vertAlign w:val="superscript"/>
        </w:rPr>
        <w:t>12</w:t>
      </w:r>
      <w:r>
        <w:rPr>
          <w:rFonts w:ascii="Arial" w:hAnsi="Arial" w:cs="Arial"/>
          <w:sz w:val="20"/>
          <w:szCs w:val="20"/>
        </w:rPr>
        <w:t xml:space="preserve"> As a result, we might want the extent of prerogative to be fixed in the constitution, leaving it as only a power to act without the law “in some things” (II 210). So, for example, Locke’s prince has the prerogative to convoke and dissolve Parliament, a power that is his by the constitution (II 156, II 167).</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Yet the logic of Locke’s account informs us that such limitation is impossible: just as the magnitude of an unforeseen accident cannot be foreseen, so the power necessary to deal with it cannot be fixed beforehand. The arguments in favor of prerogative doom attempts to constrain prudence’s responses to fortune. Certain prerogatives may be recognized in a written constitution, but what is recognized in the constitution is not the full extent of prerogative, nor are they prerogatives only because of constitutional acknowledgement. The power of prerogative, as Locke describes it, is limited only by the public good, and no law can similarly restrain a right of acting without or against the law for the public good. Just because the constitution denies the prince an authority to arbitrarily act for the public good does not mean that he is forbidden from doing so. Because prerogative is necessitated by problems with the law, and because the constitution is simply one form of law, the legitimate scope of prerogative cannot be limited by the constitution.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Prerogative cannot be a form of executive power. It is certainly incompatible with the executive power under the rule of law (where the executive gains its will only from the law and is but a private individual in quitting the law; cf. II 151)   . . .    According to what he argues, someone must be trusted with prerogative, and the executive is a good candidate (II 156). This does not, however, make prerogative an aspect of executive power    . . .  Prerogative “fell into the hands” of the executive (II 156); it is “left to the discretion of him, that has the Executive Power in his hands” (II 159); it is “left to the Executive Power” (II 160; cf. II 167). Locke almost fails once, saying that “’tis fit that the Laws themselves should in some Cases give way to the Executive Power,” but he immediately corrects himself to “or rather to this Fundamental Law of Nature and Government” (II 159).</w:t>
      </w:r>
      <w:r>
        <w:rPr>
          <w:rFonts w:ascii="Arial" w:hAnsi="Arial" w:cs="Arial"/>
          <w:position w:val="6"/>
          <w:sz w:val="20"/>
          <w:szCs w:val="20"/>
          <w:vertAlign w:val="superscript"/>
        </w:rPr>
        <w:t>13</w:t>
      </w:r>
      <w:r>
        <w:rPr>
          <w:rFonts w:ascii="Arial" w:hAnsi="Arial" w:cs="Arial"/>
          <w:sz w:val="20"/>
          <w:szCs w:val="20"/>
        </w:rPr>
        <w:t xml:space="preserve"> Prerogative is separate from executive power. Being left in the executive’s hand, prerogative was possessed beforehand: it is a natural power.</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Locke explicitly makes prerogative into a right of nature. The executive, “having the power in his hands, has by the common Law of Nature, a right to make use of it, for the good of Society” (II 159). Consequently, he did not gain this right as a result of the social compact, and so could not have gotten it as a result of the constitution created by that compact. A constitution is competent to regulate the political powers (i.e., the legislative, executive, and federative powers; cf. II 3, II 143–148, II 171) because it is the articulation of the grant of those powers: prerogative must, therefore, be extra-constitutional because, as a right, it is pre-constitutional.   . .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While it has been suggested that the legislative ought to judge the use of prerogative (it is, after all, the supreme power within society),</w:t>
      </w:r>
      <w:r>
        <w:rPr>
          <w:rFonts w:ascii="Arial" w:hAnsi="Arial" w:cs="Arial"/>
          <w:position w:val="6"/>
          <w:sz w:val="20"/>
          <w:szCs w:val="20"/>
          <w:vertAlign w:val="superscript"/>
        </w:rPr>
        <w:t>15</w:t>
      </w:r>
      <w:r>
        <w:rPr>
          <w:rFonts w:ascii="Arial" w:hAnsi="Arial" w:cs="Arial"/>
          <w:sz w:val="20"/>
          <w:szCs w:val="20"/>
        </w:rPr>
        <w:t xml:space="preserve"> there are insurmountable problems with this interpretation. The sole textual foundation for this reading is Locke’s remark that the executive may act in the absence of law “till the Legislative can conveniently be Assembled to provide for it” (II 159). It might perhaps be quibbling to note that this possibility is mentioned only in cases “where the municipal Law has given no direction,” not in cases where the executive acts contrary to the stated laws.   . .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The legislative does not have any inherent right to judge prerogative, but might it do so when the executive is simply its creature, i.e., when the prince possesses no legislative power? Locke does say that there is no judge on earth between the two where the legislative requires the executive in order to convene (II 168), but this is the case only in well-ordered commonwealths (cf. II 156). One might, therefore, think that in a poorly ordered commonwealth the legislative could judge prerogative. The only power that Locke gives to such a legislative over the executive, however, is to remove him from office and punish him for maladministration (II 152–153). In any case, the United States’ Constitution does not provide for one of those poorly ordered commonwealths: our President possesses the legislative power to veto bills.</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The chapter on prerogative ends with the appeal to Heaven, Locke’s euphemism for trial by combat (II 168; cf. II 21).</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Conclusion</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Prerogative is extraconstitutional, but this does not render the Constitution meaningless. It is extralegal, but this does not render the laws meaningless. Prerogative is, importantly, the right to violate the laws and the constitution when needed, not when ambition suggests that doing so might be more convenient. To constrain prerogative within the bounds of constitutionalism is to understate the problem to which it is a response. And to fret over the lawlessness of prerogative is to overestimate the potential of a constitution, in Locke’s view. James Madison, in defending the proposed Constitution’s checks and balances, concludes that they are sufficient guards against tyranny because — and this is important — any abuses which are possible under the proposed system will be opposed by the people; he emphasizes that the people are armed and organized into militias, leaving no doubt about the kind of “check” they embody.</w:t>
      </w:r>
      <w:r>
        <w:rPr>
          <w:rFonts w:ascii="Arial" w:hAnsi="Arial" w:cs="Arial"/>
          <w:position w:val="6"/>
          <w:sz w:val="20"/>
          <w:szCs w:val="20"/>
          <w:vertAlign w:val="superscript"/>
        </w:rPr>
        <w:t>17</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Madison said this of a constitution in its normal operation, when office holders would exercise no more power than they were explicitly granted. Constitutions are, on this account, tripwires: their transgression triggers revolutionary enforcement. The addition of prerogative to this means that their transgression should instead trigger (intense) popular vigilance. That there is no easy formula with which the people (and not their representatives or deputies) can judge the legitimacy of such acts — a formula such as a constitution would supposedly provide — is a problem only if the people lack political judgment. Perhaps they do. But Locke’s justifications for the power of prerogative force the conclusion that the people’s imprudence in this regard cannot be rendered harmless to their liberty by clearly defined rules regarding who has what power legitimately, i.e., by laws. Lockean prerogative is outside of the constitution because its logic denies that a good constitution is sufficient for liberal government.</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 1 All parenthetical references are to the Two Treatises of Government, cited by treatise and section.</w:t>
      </w:r>
    </w:p>
    <w:p w:rsidR="0030084D" w:rsidRDefault="0030084D">
      <w:pPr>
        <w:widowControl w:val="0"/>
        <w:autoSpaceDE w:val="0"/>
        <w:autoSpaceDN w:val="0"/>
        <w:adjustRightInd w:val="0"/>
        <w:spacing w:after="0" w:line="240" w:lineRule="auto"/>
        <w:rPr>
          <w:rFonts w:ascii="Arial" w:hAnsi="Arial" w:cs="Arial"/>
          <w:sz w:val="17"/>
          <w:szCs w:val="17"/>
        </w:rPr>
      </w:pPr>
    </w:p>
    <w:p w:rsidR="0030084D" w:rsidRDefault="0030084D">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 2 Recent articles in just this past year include Clement Fatovic, “Constitutionalism and Contingency: Locke’s Theory of Prerogative,” History of Political Thought 25.2 (Summer 2004): 276–297; “Constitutionalism and Presidential Prerogative: Jeffersonian and Hamiltonian Perspectives,” American Journal of Political Science 48.3 (July 2004): 429–444; and Sean Mattie, “Prerogative and the Rule of Law in John Locke and the Lincoln Presidency,” Review of Politics 67.1 (Winter 2005): 77–111. I know of other treatments that are being prepared for publication. Prerogative has also received significant attention in John Dunn, The Political Thought of John Locke (Cambridge: Cambridge University Press, 1969); Harvey C. Mansfield, Taming the Prince (New York: The Free Press, 1989; paperback, Baltimore: Johns Hopkins Press, 1993); David R. Weaver, “Leadership, Locke, and the Federalist,” American Journal of Political Science 41.2 (Apr. 1997): 420–46; Pasquale Pasquino, “Locke on King’s Prerogative,” Political Theory 26.2 (Apr. 1998): 198–208; John T. Scott, “The Sovereignless State and Locke’s Language of Obligation,” American Political Science Review 94.3 (Sep. 2000): 547–561; Robert Faulkner, “The First Liberal Democrat: Locke’s Popular Government,” Review of Politics 63.1 (Winter 2001): 5–39; and Peter Josephson, The Great Art of Government: Locke’s Use of Consent (Lawrence, Kansas: University Press of Kansas, 2002).</w:t>
      </w:r>
    </w:p>
    <w:p w:rsidR="0030084D" w:rsidRDefault="0030084D">
      <w:pPr>
        <w:widowControl w:val="0"/>
        <w:autoSpaceDE w:val="0"/>
        <w:autoSpaceDN w:val="0"/>
        <w:adjustRightInd w:val="0"/>
        <w:spacing w:after="0" w:line="240" w:lineRule="auto"/>
        <w:rPr>
          <w:rFonts w:ascii="Arial" w:hAnsi="Arial" w:cs="Arial"/>
          <w:sz w:val="17"/>
          <w:szCs w:val="17"/>
        </w:rPr>
      </w:pPr>
    </w:p>
    <w:p w:rsidR="0030084D" w:rsidRDefault="0030084D">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 3 For this view, see Weaver, “Leadership, Locke, and the Federalist.” Faulkner almost goes this far in “First Liberal Democrat,” but does permit a single instance of extraconstitutional action.</w:t>
      </w:r>
    </w:p>
    <w:p w:rsidR="0030084D" w:rsidRDefault="0030084D">
      <w:pPr>
        <w:widowControl w:val="0"/>
        <w:autoSpaceDE w:val="0"/>
        <w:autoSpaceDN w:val="0"/>
        <w:adjustRightInd w:val="0"/>
        <w:spacing w:after="0" w:line="240" w:lineRule="auto"/>
        <w:rPr>
          <w:rFonts w:ascii="Arial" w:hAnsi="Arial" w:cs="Arial"/>
          <w:sz w:val="17"/>
          <w:szCs w:val="17"/>
        </w:rPr>
      </w:pPr>
    </w:p>
    <w:p w:rsidR="0030084D" w:rsidRDefault="0030084D">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 4 Whether it is necessary in any given case is a matter for political judgment. This paper consequently will not address whether our present administration has overstepped its lawful bounds or whether the war on terrorism requires such a response.</w:t>
      </w:r>
    </w:p>
    <w:p w:rsidR="0030084D" w:rsidRDefault="0030084D">
      <w:pPr>
        <w:widowControl w:val="0"/>
        <w:autoSpaceDE w:val="0"/>
        <w:autoSpaceDN w:val="0"/>
        <w:adjustRightInd w:val="0"/>
        <w:spacing w:after="0" w:line="240" w:lineRule="auto"/>
        <w:rPr>
          <w:rFonts w:ascii="Arial" w:hAnsi="Arial" w:cs="Arial"/>
          <w:sz w:val="17"/>
          <w:szCs w:val="17"/>
        </w:rPr>
      </w:pPr>
    </w:p>
    <w:p w:rsidR="0030084D" w:rsidRDefault="0030084D">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 5 That is, the executive and legislative powers are not, according to this argument, placed in different hands in order to limit the executive. The executive is, after all, already limited by his being the executive. Rather, they are placed in separate hands in order to keep the legislative power honest.</w:t>
      </w:r>
    </w:p>
    <w:p w:rsidR="0030084D" w:rsidRDefault="0030084D">
      <w:pPr>
        <w:widowControl w:val="0"/>
        <w:autoSpaceDE w:val="0"/>
        <w:autoSpaceDN w:val="0"/>
        <w:adjustRightInd w:val="0"/>
        <w:spacing w:after="0" w:line="240" w:lineRule="auto"/>
        <w:rPr>
          <w:rFonts w:ascii="Arial" w:hAnsi="Arial" w:cs="Arial"/>
          <w:sz w:val="17"/>
          <w:szCs w:val="17"/>
        </w:rPr>
      </w:pPr>
    </w:p>
    <w:p w:rsidR="0030084D" w:rsidRDefault="0030084D">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 9 See Robert Faulkner’s discussion of this example in “The First Liberal Democrat: Locke’s Popular Government,” Review of Politics 63.1 (Winter 2001): 5–39.</w:t>
      </w:r>
    </w:p>
    <w:p w:rsidR="0030084D" w:rsidRDefault="0030084D">
      <w:pPr>
        <w:widowControl w:val="0"/>
        <w:autoSpaceDE w:val="0"/>
        <w:autoSpaceDN w:val="0"/>
        <w:adjustRightInd w:val="0"/>
        <w:spacing w:after="0" w:line="240" w:lineRule="auto"/>
        <w:rPr>
          <w:rFonts w:ascii="Arial" w:hAnsi="Arial" w:cs="Arial"/>
          <w:sz w:val="17"/>
          <w:szCs w:val="17"/>
        </w:rPr>
      </w:pPr>
    </w:p>
    <w:p w:rsidR="0030084D" w:rsidRDefault="0030084D">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 10 This problem is discussed again toward the end of this paper.</w:t>
      </w:r>
    </w:p>
    <w:p w:rsidR="0030084D" w:rsidRDefault="0030084D">
      <w:pPr>
        <w:widowControl w:val="0"/>
        <w:autoSpaceDE w:val="0"/>
        <w:autoSpaceDN w:val="0"/>
        <w:adjustRightInd w:val="0"/>
        <w:spacing w:after="0" w:line="240" w:lineRule="auto"/>
        <w:rPr>
          <w:rFonts w:ascii="Arial" w:hAnsi="Arial" w:cs="Arial"/>
          <w:sz w:val="17"/>
          <w:szCs w:val="17"/>
        </w:rPr>
      </w:pPr>
    </w:p>
    <w:p w:rsidR="0030084D" w:rsidRDefault="0030084D">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 11 This is only a problem if consent is stronger than acquiescence, or if government by consent means something more than a submissive population. This is denied by Martin Seliger; see “Locke’s Theory of Revolutionary Action,” Western Political Quarterly 16.3 (Sep. 1963): 548–568. But every people has submitted to those that rule them (cf. I 43; Charles Tarlton, “A Rope of Sand: Interpreting Locke’s ‘First Treatise of Government’,” The Historical Journal 21.1 [1978]: 43–73, esp. 56–59); a normatively interested consensual government demands a bit more (cf. II 186). Otherwise, every government is legitimate: Locke wouldn’t be the correction of Hobbes on Hobbesian principles that many scholars see him as — he would be Hobbes, albeit with better spin.</w:t>
      </w:r>
    </w:p>
    <w:p w:rsidR="0030084D" w:rsidRDefault="0030084D">
      <w:pPr>
        <w:widowControl w:val="0"/>
        <w:autoSpaceDE w:val="0"/>
        <w:autoSpaceDN w:val="0"/>
        <w:adjustRightInd w:val="0"/>
        <w:spacing w:after="0" w:line="240" w:lineRule="auto"/>
        <w:rPr>
          <w:rFonts w:ascii="Arial" w:hAnsi="Arial" w:cs="Arial"/>
          <w:sz w:val="17"/>
          <w:szCs w:val="17"/>
        </w:rPr>
      </w:pPr>
    </w:p>
    <w:p w:rsidR="0030084D" w:rsidRDefault="0030084D">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 12 Ex Parte Milligan, 71 U.S. (4 Wall.) 2, 121 (1866).</w:t>
      </w:r>
    </w:p>
    <w:p w:rsidR="0030084D" w:rsidRDefault="0030084D">
      <w:pPr>
        <w:widowControl w:val="0"/>
        <w:autoSpaceDE w:val="0"/>
        <w:autoSpaceDN w:val="0"/>
        <w:adjustRightInd w:val="0"/>
        <w:spacing w:after="0" w:line="240" w:lineRule="auto"/>
        <w:rPr>
          <w:rFonts w:ascii="Arial" w:hAnsi="Arial" w:cs="Arial"/>
          <w:sz w:val="17"/>
          <w:szCs w:val="17"/>
        </w:rPr>
      </w:pPr>
    </w:p>
    <w:p w:rsidR="0030084D" w:rsidRDefault="0030084D">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 13 The “or rather” shows this to be a correction, strongly suggesting that Locke understood prerogative to be a distinct power: there is no need to correct errors that don’t exist.</w:t>
      </w:r>
    </w:p>
    <w:p w:rsidR="0030084D" w:rsidRDefault="0030084D">
      <w:pPr>
        <w:widowControl w:val="0"/>
        <w:autoSpaceDE w:val="0"/>
        <w:autoSpaceDN w:val="0"/>
        <w:adjustRightInd w:val="0"/>
        <w:spacing w:after="0" w:line="240" w:lineRule="auto"/>
        <w:rPr>
          <w:rFonts w:ascii="Arial" w:hAnsi="Arial" w:cs="Arial"/>
          <w:sz w:val="17"/>
          <w:szCs w:val="17"/>
        </w:rPr>
      </w:pPr>
    </w:p>
    <w:p w:rsidR="0030084D" w:rsidRDefault="0030084D">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 15 See David R. Weaver, “Leadership, Locke, and the Federalist,” American Journal of Political Science 41.2 (April 1997): 420–446.</w:t>
      </w:r>
    </w:p>
    <w:p w:rsidR="0030084D" w:rsidRDefault="0030084D">
      <w:pPr>
        <w:widowControl w:val="0"/>
        <w:autoSpaceDE w:val="0"/>
        <w:autoSpaceDN w:val="0"/>
        <w:adjustRightInd w:val="0"/>
        <w:spacing w:after="0" w:line="240" w:lineRule="auto"/>
        <w:rPr>
          <w:rFonts w:ascii="Arial" w:hAnsi="Arial" w:cs="Arial"/>
          <w:sz w:val="17"/>
          <w:szCs w:val="17"/>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17"/>
          <w:szCs w:val="17"/>
        </w:rPr>
        <w:tab/>
        <w:t xml:space="preserve"> 17 Federalist Papers, No. 46.</w:t>
      </w: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http://www.brown.edu/Research/ppw/Corbett.doc</w:t>
      </w: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 FLORIDA STATE UNIVERSITY COLLEGE OF ARTS AND SCIENCES</w:t>
      </w: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MALVINAS MYTHS, FALKLANDS FICTIONS:</w:t>
      </w: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CULTURAL RESPONSES TO WAR FROM BOTH SIDES OF THE ATLANTIC</w:t>
      </w: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By LAURA LINFORD WILLIAMS</w:t>
      </w:r>
    </w:p>
    <w:p w:rsidR="0030084D" w:rsidRDefault="0030084D">
      <w:pPr>
        <w:widowControl w:val="0"/>
        <w:autoSpaceDE w:val="0"/>
        <w:autoSpaceDN w:val="0"/>
        <w:adjustRightInd w:val="0"/>
        <w:spacing w:after="0" w:line="240" w:lineRule="auto"/>
        <w:rPr>
          <w:rFonts w:ascii="Times New Roman" w:hAnsi="Times New Roman" w:cs="Times New Roman"/>
          <w:sz w:val="24"/>
          <w:szCs w:val="24"/>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 Dissertation submitted to the Interdisciplinary Program in the Humanities in partial fulfillment of the requirements for the degree of Doctor of Philosophy</w:t>
      </w: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Degree Awarded: Spring Semester, 2005</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members of the Committee approve the dissertation of Laura Linford Williams defended on March 25, 2005.</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Jean Graham-Jones</w:t>
      </w:r>
      <w:r>
        <w:rPr>
          <w:rFonts w:ascii="Arial" w:hAnsi="Arial" w:cs="Arial"/>
          <w:sz w:val="20"/>
          <w:szCs w:val="20"/>
        </w:rPr>
        <w:tab/>
        <w:t>Professor Directing Dissertation</w:t>
      </w: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Dale A. Olsen</w:t>
      </w:r>
      <w:r>
        <w:rPr>
          <w:rFonts w:ascii="Arial" w:hAnsi="Arial" w:cs="Arial"/>
          <w:sz w:val="20"/>
          <w:szCs w:val="20"/>
        </w:rPr>
        <w:tab/>
      </w:r>
      <w:r>
        <w:rPr>
          <w:rFonts w:ascii="Arial" w:hAnsi="Arial" w:cs="Arial"/>
          <w:sz w:val="20"/>
          <w:szCs w:val="20"/>
        </w:rPr>
        <w:tab/>
        <w:t>Outside Committee Member</w:t>
      </w: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William J. Cloonan</w:t>
      </w:r>
      <w:r>
        <w:rPr>
          <w:rFonts w:ascii="Arial" w:hAnsi="Arial" w:cs="Arial"/>
          <w:sz w:val="20"/>
          <w:szCs w:val="20"/>
        </w:rPr>
        <w:tab/>
        <w:t>Humanities Representative</w:t>
      </w: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Juan C. Galeano</w:t>
      </w:r>
      <w:r>
        <w:rPr>
          <w:rFonts w:ascii="Arial" w:hAnsi="Arial" w:cs="Arial"/>
          <w:sz w:val="20"/>
          <w:szCs w:val="20"/>
        </w:rPr>
        <w:tab/>
        <w:t>Committee Member</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Office of Graduate Studies has verified and approved the above named committee members.</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Falklands/Malvinas War of 1982 brought two previously friendly nations into</w:t>
      </w: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armed conflict – not only over the possession of a few small islands, but also over moral</w:t>
      </w: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principles and national honor. Both Argentina and the United Kingdom had attached</w:t>
      </w:r>
    </w:p>
    <w:p w:rsidR="0030084D" w:rsidRDefault="0030084D">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symbolic and mythic significations to the islands and to the struggle for their possession.</w:t>
      </w:r>
    </w:p>
    <w:p w:rsidR="0030084D" w:rsidRDefault="0030084D">
      <w:pPr>
        <w:widowControl w:val="0"/>
        <w:autoSpaceDE w:val="0"/>
        <w:autoSpaceDN w:val="0"/>
        <w:adjustRightInd w:val="0"/>
        <w:spacing w:after="0" w:line="240" w:lineRule="auto"/>
        <w:rPr>
          <w:rFonts w:ascii="Arial" w:hAnsi="Arial" w:cs="Arial"/>
          <w:sz w:val="8"/>
          <w:szCs w:val="8"/>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808080"/>
          <w:sz w:val="24"/>
          <w:szCs w:val="24"/>
        </w:rPr>
        <w:tab/>
      </w:r>
      <w:r>
        <w:rPr>
          <w:rFonts w:ascii="Times New Roman" w:hAnsi="Times New Roman" w:cs="Times New Roman"/>
          <w:color w:val="808080"/>
          <w:sz w:val="24"/>
          <w:szCs w:val="24"/>
        </w:rPr>
        <w:tab/>
      </w:r>
      <w:r>
        <w:rPr>
          <w:rFonts w:ascii="Times New Roman" w:hAnsi="Times New Roman" w:cs="Times New Roman"/>
          <w:color w:val="808080"/>
          <w:sz w:val="24"/>
          <w:szCs w:val="24"/>
        </w:rPr>
        <w:tab/>
        <w:t>{ Really?  Citations needed. }</w:t>
      </w:r>
    </w:p>
    <w:p w:rsidR="0030084D" w:rsidRDefault="0030084D">
      <w:pPr>
        <w:widowControl w:val="0"/>
        <w:autoSpaceDE w:val="0"/>
        <w:autoSpaceDN w:val="0"/>
        <w:adjustRightInd w:val="0"/>
        <w:spacing w:after="0" w:line="240" w:lineRule="auto"/>
        <w:rPr>
          <w:rFonts w:ascii="Arial" w:hAnsi="Arial" w:cs="Arial"/>
          <w:sz w:val="24"/>
          <w:szCs w:val="24"/>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myths, closely tied to issues of national identity and pride, influenced national</w:t>
      </w: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leaders and ordinary citizens alike to advocate what was seen on both sides as a just and</w:t>
      </w: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necessary war for sovereignty and national dignity.</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dissertation uses Roland Barthes’s definition of myth as a constructed and superimposed signification, as well as Hayden White’s theory that history and literature share similar plot structures, to examine how Britain’s and Argentina’s nationalist myths were developed and applied to the Falklands/Malvinas dispute. While governmental speeches, media reports, and polemic essays play a supportive role, my analysis centers on Falklands/Malvinas myths as they appear in artistic texts, including poetry, novels, short stories, theater, film, music, and visual arts.   . .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number of British scholars have also examined how Britain’s nationalist myths were applied specifically to the 1982 conflict. Kevin Foster explains why such a study is valuable. In his book Fighting Fictions (1999), he writes that Falklands War myths have set a dangerous precedent by making it seem that going to war can actually have a healthy effect on society. He suggests that his book can help readers to recognize the discursive strategies used by the government and the media to create these harmful illusions, and to resist them, thus helping prevent future destruction by warfare in the name of the public good (156). Foster’s demythologizing project is just one of several on both sides of the conflict. These texts explore different myths in various manifestations, through a number of viewpoints and methodologies. A synthesis of their discoveries, which I provide in this Introduction and amplify in Chapter One, will serve to create a more complete picture of the Falklands/Malvinas myths and how they have been generated and interpreted. I cannot say whether this will actually enable readers to recognize and resist war-promoting myths that emerge now or in the future.</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Nevertheless, this dissertation should give a clear picture of how the artistic intelligentsia, as well as some of the participants, would weigh the benefits in view of the sacrifices of the Falklands/Malvinas War. Readers both British and Argentinean might be surprised to see the similarities between their respective myths about the islands and the war. A greater understanding of both their own mythic constructions, as well as those of the other side, might help them to see through the fictional and emotional buildup, and find more mutually acceptable solutions to their still-unresolved dispute. I hope that this dissertation at least provides the beginnings of this greater understanding.    . .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of the more commonly cited factors influencing both British Prime Minister Margaret Thatcher’s and the Argentine military Junta’s decisions to enter the war was the dual desire to distract their citizens from domestic problems and to solidify crumbling support for their respective regimes.   . .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the British side, in addition to the obvious desire to save face after an embarrassing defeat, certain principles were invoked to justify military retaliation. Foremost was the principle that an act of international aggression – particularly one perpetrated by a dictatorial regime – could not be overlooked as it would set a dangerous precedent. Another principle that British leaders appealed to was that the rights of the islanders to choose their government had to be respected (although previous to the war the islanders did not have full citizenship or even a truly representative form of government [Monaghan 33]). The islanders and their representatives in the U. K. (the socalled Falklands Lobby) were adamant that they wished to remain British. One wellpublicized reason behind their rejection of Argentinean sovereignty, as well as Parliament’s continued support for their wishes, was distrust of Argentina’s unstable military regime and its poor human rights record.     . .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1834 a small British garrison was sent to maintain order in the colony until the first British governor, Richard Moody, arrived in 1842. Despite frequent Argentine protests, the islands remained under British control for the next 140 years.  In 1964, the UN Committee on Decolonization placed the Falklands/Malvinas on a list of territories in need of decolonization. This was followed in 1965 by Resolution 2065 of the UN General Assembly, which urged both sides to work toward a peaceful solution to the dispute, while taking the “interests” of the islanders into account. These two UN resolutions persuaded London to negotiate with Argentina. However, as the talks and the years dragged on, little progress was made.</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Britain seemed to have changed the rules in 1968, when it declared that the “wishes of the islanders” were paramount in the negotiations, as opposed to merely their “interests” as outlined in the UN Resolution. This declaration was the result of pressure from the Falklands Lobby, which also managed to thwart a potential leaseback arrangement in 1980 through lobbying and negative media coverage. Furthermore, the islanders demanded that their representatives be present in all future discussions with Argentina, and that the sovereignty issue be shelved. At this point, it was evident to Argentina that Britain was merely “talking for the sake of talking” (Freedman and Gamba-Stonehouse).</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Buenos Aires judged that the British Government, at a time when economic pressures demanded downsizing, would be pleased to reduce its commitments in the South Atlantic, but was dragging its feet because of pressure from the influential Falklands Lobby. Because Argentina had not exerted enough counter-pressure of its own, London did not take its demands too seriously and continued its delaying tactics (Freedman and Gamba-Stonehouse). So Argentina increased the urgency of its demands for a settlement, adding a timetable by which a decision must be reached.</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March 1982, relations were strained between the two nations when the British delegation was unable to accept Buenos Aires’s timetable. Argentine Foreign Minister Dr. Nicanor Costa Méndez issued a unilateral statement that unless the British accepted the Argentine proposals in their entirety and soon, that Argentina would terminate the current negotiations and “choose freely the procedure which best accords with her interests” (qtd. in Freedman and Gamba-Stonehouse 28). It was into this tense atmosphere that crisis on the Island of South Georgia/Georgias del Sur erupted in the form of some Argentine scrap metal merchants led by one Constantino Davidoff. The party was under a valid British contract to perform salvage work, and Davidoff had duly informed the British Embassy in Buenos Aires that they would be arriving on an Argentine Naval vessel. However, the Argentineans maintained radio silence for the drop-off, failed to check in with the Magistrate at Grytviken, as the Embassy had asked them to do, and planted an Argentine flag on shore (Freedman and Gamba-Stonehouse 47-8). Since the same merchants had done the same thing in December of the previous year and had been served with British protests, this repeat offense aroused British suspicions that Argentina was attempting to establish a permanent, perhaps military, presence on South Georgia/Georgias del Sur (Freedman and Gamba-Stonehouse 49). Though this was not actually the case, with both nations tense and suspicious, an extremely complicated series of misunderstandings and misjudgments led the British to send a ship and threaten to remove the work party by force. This move was seen in Buenos Aires as an extravagant and insulting reaction to what was really a minor misdemeanor on Davidoff’s part (Freedman and Gamba-Stonehouse 60). Buenos Aires responded by sending a ship with fourteen marines aboard to protect the workers, and by stepping up its plans to invade the Falklands/Malvinas (Freedman and Gamba- Stonehouse 64). The Argentine marines arrived late on the night of March 24. The next evening the British Ambassador to Argentina told Costa Méndez that if the work party would go to Grytviken and get their passports stamped, they could return to work without further disturbance. Costa Méndez did not reply, and before London could figure out what to do next, the invasion of the Falklands/Malvinas was underway (Freedman and Gamba-Stonehouse 67).</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Argentine forces landed and retook the islands on April 2, 1982.   . . .</w:t>
      </w:r>
    </w:p>
    <w:p w:rsidR="0030084D" w:rsidRDefault="0030084D">
      <w:pPr>
        <w:widowControl w:val="0"/>
        <w:autoSpaceDE w:val="0"/>
        <w:autoSpaceDN w:val="0"/>
        <w:adjustRightInd w:val="0"/>
        <w:spacing w:after="0" w:line="240" w:lineRule="auto"/>
        <w:rPr>
          <w:rFonts w:ascii="Arial" w:hAnsi="Arial" w:cs="Arial"/>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http://etd.lib.fsu.edu/theses/available/etd-04082005-174013/unrestricted/LLWDissertation.pdf</w:t>
      </w: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Courier New" w:hAnsi="Courier New" w:cs="Courier New"/>
          <w:sz w:val="24"/>
          <w:szCs w:val="24"/>
        </w:rPr>
      </w:pPr>
    </w:p>
    <w:p w:rsidR="0030084D" w:rsidRDefault="0030084D">
      <w:pPr>
        <w:widowControl w:val="0"/>
        <w:autoSpaceDE w:val="0"/>
        <w:autoSpaceDN w:val="0"/>
        <w:adjustRightInd w:val="0"/>
        <w:spacing w:after="0" w:line="240" w:lineRule="auto"/>
        <w:rPr>
          <w:rFonts w:ascii="Courier New" w:hAnsi="Courier New" w:cs="Courier New"/>
          <w:sz w:val="20"/>
          <w:szCs w:val="20"/>
        </w:rPr>
      </w:pPr>
    </w:p>
    <w:p w:rsidR="0030084D" w:rsidRDefault="0030084D">
      <w:pPr>
        <w:widowControl w:val="0"/>
        <w:autoSpaceDE w:val="0"/>
        <w:autoSpaceDN w:val="0"/>
        <w:adjustRightInd w:val="0"/>
        <w:spacing w:after="0" w:line="240" w:lineRule="auto"/>
        <w:rPr>
          <w:rFonts w:ascii="Courier New" w:hAnsi="Courier New" w:cs="Courier New"/>
          <w:sz w:val="24"/>
          <w:szCs w:val="24"/>
        </w:rPr>
      </w:pPr>
    </w:p>
    <w:p w:rsidR="0030084D" w:rsidRDefault="0030084D">
      <w:pPr>
        <w:widowControl w:val="0"/>
        <w:autoSpaceDE w:val="0"/>
        <w:autoSpaceDN w:val="0"/>
        <w:adjustRightInd w:val="0"/>
        <w:spacing w:after="0" w:line="240" w:lineRule="auto"/>
        <w:rPr>
          <w:rFonts w:ascii="Courier New" w:hAnsi="Courier New" w:cs="Courier New"/>
          <w:sz w:val="24"/>
          <w:szCs w:val="24"/>
        </w:rPr>
      </w:pPr>
    </w:p>
    <w:p w:rsidR="0030084D" w:rsidRDefault="0030084D">
      <w:pPr>
        <w:widowControl w:val="0"/>
        <w:autoSpaceDE w:val="0"/>
        <w:autoSpaceDN w:val="0"/>
        <w:adjustRightInd w:val="0"/>
        <w:spacing w:after="0" w:line="240" w:lineRule="auto"/>
        <w:rPr>
          <w:rFonts w:ascii="Courier New" w:hAnsi="Courier New" w:cs="Courier New"/>
          <w:sz w:val="24"/>
          <w:szCs w:val="24"/>
        </w:rPr>
      </w:pP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20"/>
          <w:szCs w:val="20"/>
        </w:rPr>
      </w:pPr>
    </w:p>
    <w:p w:rsidR="0030084D" w:rsidRDefault="0030084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30084D" w:rsidRDefault="0030084D">
      <w:pPr>
        <w:widowControl w:val="0"/>
        <w:autoSpaceDE w:val="0"/>
        <w:autoSpaceDN w:val="0"/>
        <w:adjustRightInd w:val="0"/>
        <w:spacing w:after="0" w:line="240" w:lineRule="auto"/>
        <w:rPr>
          <w:rFonts w:ascii="Times New Roman" w:hAnsi="Times New Roman" w:cs="Times New Roman"/>
          <w:sz w:val="34"/>
          <w:szCs w:val="34"/>
        </w:rPr>
      </w:pPr>
    </w:p>
    <w:p w:rsidR="0030084D" w:rsidRDefault="0030084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30084D" w:rsidSect="0030084D">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084D" w:rsidRDefault="0030084D" w:rsidP="0030084D">
      <w:pPr>
        <w:spacing w:after="0" w:line="240" w:lineRule="auto"/>
      </w:pPr>
      <w:r>
        <w:separator/>
      </w:r>
    </w:p>
  </w:endnote>
  <w:endnote w:type="continuationSeparator" w:id="0">
    <w:p w:rsidR="0030084D" w:rsidRDefault="0030084D" w:rsidP="003008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84D" w:rsidRDefault="0030084D">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0"/>
        <w:szCs w:val="20"/>
      </w:rPr>
      <w:t>No Rights Reserved.  All content is in the Public Domain.  Data files are UUE encoded / Courier New 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084D" w:rsidRDefault="0030084D" w:rsidP="0030084D">
      <w:pPr>
        <w:spacing w:after="0" w:line="240" w:lineRule="auto"/>
      </w:pPr>
      <w:r>
        <w:separator/>
      </w:r>
    </w:p>
  </w:footnote>
  <w:footnote w:type="continuationSeparator" w:id="0">
    <w:p w:rsidR="0030084D" w:rsidRDefault="0030084D" w:rsidP="003008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84D" w:rsidRDefault="0030084D">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084D"/>
    <w:rsid w:val="0030084D"/>
    <w:rsid w:val="00A0511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6188</Words>
  <Characters>35274</Characters>
  <Application>Microsoft Office Word</Application>
  <DocSecurity>0</DocSecurity>
  <Lines>293</Lines>
  <Paragraphs>82</Paragraphs>
  <ScaleCrop>false</ScaleCrop>
  <Company/>
  <LinksUpToDate>false</LinksUpToDate>
  <CharactersWithSpaces>41380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2019-06-03T23:25:00Z</dcterms:created>
  <dcterms:modified xsi:type="dcterms:W3CDTF">2019-06-03T23:25:00Z</dcterms:modified>
</cp:coreProperties>
</file>